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60" w:rsidRDefault="004F1903">
      <w:hyperlink r:id="rId4" w:history="1">
        <w:r w:rsidRPr="0061082E">
          <w:rPr>
            <w:rStyle w:val="Hypertextovodkaz"/>
          </w:rPr>
          <w:t>https://www.dchp.cz/jak-pomahame/v-plzenskem-kraji/sluzby-pro-seniory/charitni-pecovatelska-sluzba-blovice-spal-porici/</w:t>
        </w:r>
      </w:hyperlink>
    </w:p>
    <w:p w:rsidR="004F1903" w:rsidRDefault="004F1903">
      <w:bookmarkStart w:id="0" w:name="_GoBack"/>
      <w:bookmarkEnd w:id="0"/>
    </w:p>
    <w:sectPr w:rsidR="004F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3"/>
    <w:rsid w:val="004F1903"/>
    <w:rsid w:val="008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4486-06CE-483A-99A6-68B5EA62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1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chp.cz/jak-pomahame/v-plzenskem-kraji/sluzby-pro-seniory/charitni-pecovatelska-sluzba-blovice-spal-poric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2020-06-30T13:03:00Z</dcterms:created>
  <dcterms:modified xsi:type="dcterms:W3CDTF">2020-06-30T13:04:00Z</dcterms:modified>
</cp:coreProperties>
</file>